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4FA3A" w14:textId="77777777" w:rsidR="00E5429C" w:rsidRDefault="006E403E">
      <w:pPr>
        <w:pStyle w:val="1"/>
        <w:spacing w:before="320" w:after="480" w:line="240" w:lineRule="auto"/>
        <w:ind w:firstLine="0"/>
        <w:jc w:val="center"/>
        <w:rPr>
          <w:sz w:val="16"/>
          <w:szCs w:val="16"/>
        </w:rPr>
      </w:pPr>
      <w:r>
        <w:rPr>
          <w:rStyle w:val="a3"/>
          <w:b/>
          <w:bCs/>
        </w:rPr>
        <w:t>Сведения, необходимые для анализа состояния антитеррористической</w:t>
      </w:r>
      <w:r>
        <w:rPr>
          <w:rStyle w:val="a3"/>
          <w:b/>
          <w:bCs/>
        </w:rPr>
        <w:br/>
        <w:t xml:space="preserve">защищенности образовательных организаций </w:t>
      </w:r>
      <w:r>
        <w:rPr>
          <w:rStyle w:val="a3"/>
          <w:b/>
          <w:bCs/>
          <w:sz w:val="16"/>
          <w:szCs w:val="16"/>
        </w:rPr>
        <w:t>**</w:t>
      </w:r>
    </w:p>
    <w:p w14:paraId="09604815" w14:textId="77777777" w:rsidR="00E5429C" w:rsidRDefault="006E403E">
      <w:pPr>
        <w:pStyle w:val="1"/>
        <w:numPr>
          <w:ilvl w:val="0"/>
          <w:numId w:val="1"/>
        </w:numPr>
        <w:tabs>
          <w:tab w:val="left" w:pos="1068"/>
        </w:tabs>
        <w:ind w:firstLine="720"/>
        <w:jc w:val="both"/>
      </w:pPr>
      <w:r>
        <w:rPr>
          <w:rStyle w:val="a3"/>
        </w:rPr>
        <w:t>Факторы, снижающие уровень антитеррористической защищенности (далее – АТЗ) объектов (территорий), причины и условия их возникновения.</w:t>
      </w:r>
    </w:p>
    <w:p w14:paraId="4DBA0C45" w14:textId="77777777" w:rsidR="00E5429C" w:rsidRDefault="006E403E">
      <w:pPr>
        <w:pStyle w:val="1"/>
        <w:numPr>
          <w:ilvl w:val="0"/>
          <w:numId w:val="1"/>
        </w:numPr>
        <w:tabs>
          <w:tab w:val="left" w:pos="1709"/>
        </w:tabs>
        <w:ind w:firstLine="720"/>
        <w:jc w:val="both"/>
      </w:pPr>
      <w:r>
        <w:rPr>
          <w:rStyle w:val="a3"/>
        </w:rPr>
        <w:t>Количество и результаты:</w:t>
      </w:r>
    </w:p>
    <w:p w14:paraId="75758735" w14:textId="77777777" w:rsidR="00E5429C" w:rsidRDefault="006E403E">
      <w:pPr>
        <w:pStyle w:val="1"/>
        <w:ind w:firstLine="720"/>
        <w:jc w:val="both"/>
      </w:pPr>
      <w:r>
        <w:rPr>
          <w:rStyle w:val="a3"/>
        </w:rPr>
        <w:t>осуществления в период с 1 июня 2024 г. по 1 мая 2025 г. внутреннего (проведенного по решению правообладателей или руководителей организаций) контроля состояния АТЗ объектов (территорий);</w:t>
      </w:r>
    </w:p>
    <w:p w14:paraId="38D0FBC8" w14:textId="77777777" w:rsidR="00E5429C" w:rsidRDefault="006E403E">
      <w:pPr>
        <w:pStyle w:val="1"/>
        <w:ind w:firstLine="720"/>
        <w:jc w:val="both"/>
      </w:pPr>
      <w:r>
        <w:rPr>
          <w:rStyle w:val="a3"/>
        </w:rPr>
        <w:t>проведенных в период с 1 июня 2024 г. по 1 мая 2025 г. учений (тренировок) на объектах (территориях).</w:t>
      </w:r>
    </w:p>
    <w:p w14:paraId="4458077D" w14:textId="77777777" w:rsidR="00E5429C" w:rsidRDefault="006E403E">
      <w:pPr>
        <w:pStyle w:val="1"/>
        <w:numPr>
          <w:ilvl w:val="0"/>
          <w:numId w:val="1"/>
        </w:numPr>
        <w:tabs>
          <w:tab w:val="left" w:pos="1073"/>
        </w:tabs>
        <w:ind w:firstLine="720"/>
        <w:jc w:val="both"/>
      </w:pPr>
      <w:r>
        <w:rPr>
          <w:rStyle w:val="a3"/>
        </w:rPr>
        <w:t>Количество и результаты проведенных в период с 1 июня 2024 г. по 1 мая 2025 г. внешних (проведенных по решению иных органов власти) проверок на объектах (территориях).</w:t>
      </w:r>
    </w:p>
    <w:p w14:paraId="00242C77" w14:textId="77777777" w:rsidR="00E5429C" w:rsidRDefault="006E403E">
      <w:pPr>
        <w:pStyle w:val="1"/>
        <w:numPr>
          <w:ilvl w:val="0"/>
          <w:numId w:val="1"/>
        </w:numPr>
        <w:tabs>
          <w:tab w:val="left" w:pos="1709"/>
        </w:tabs>
        <w:ind w:firstLine="720"/>
        <w:jc w:val="both"/>
      </w:pPr>
      <w:r>
        <w:rPr>
          <w:rStyle w:val="a3"/>
        </w:rPr>
        <w:t>Причины:</w:t>
      </w:r>
    </w:p>
    <w:p w14:paraId="06CA93D8" w14:textId="77777777" w:rsidR="00E5429C" w:rsidRDefault="006E403E">
      <w:pPr>
        <w:pStyle w:val="1"/>
        <w:ind w:firstLine="720"/>
        <w:jc w:val="both"/>
      </w:pPr>
      <w:r>
        <w:rPr>
          <w:rStyle w:val="a3"/>
        </w:rPr>
        <w:t>отсутствия паспортов безопасности;</w:t>
      </w:r>
    </w:p>
    <w:p w14:paraId="24968B4E" w14:textId="77777777" w:rsidR="00E5429C" w:rsidRDefault="006E403E">
      <w:pPr>
        <w:pStyle w:val="1"/>
        <w:ind w:firstLine="720"/>
        <w:jc w:val="both"/>
      </w:pPr>
      <w:r>
        <w:rPr>
          <w:rStyle w:val="a3"/>
        </w:rPr>
        <w:t>незавершения мероприятий по линии АТЗ.</w:t>
      </w:r>
    </w:p>
    <w:p w14:paraId="3E6AFC47" w14:textId="77777777" w:rsidR="00E5429C" w:rsidRDefault="006E403E">
      <w:pPr>
        <w:pStyle w:val="1"/>
        <w:numPr>
          <w:ilvl w:val="0"/>
          <w:numId w:val="1"/>
        </w:numPr>
        <w:tabs>
          <w:tab w:val="left" w:pos="1709"/>
        </w:tabs>
        <w:ind w:firstLine="720"/>
        <w:jc w:val="both"/>
      </w:pPr>
      <w:r>
        <w:rPr>
          <w:rStyle w:val="a3"/>
        </w:rPr>
        <w:t>Предлагаемые меры по повышению уровня АТЗ объектов (территорий).</w:t>
      </w:r>
    </w:p>
    <w:p w14:paraId="485E058E" w14:textId="77777777" w:rsidR="00D01950" w:rsidRDefault="00D01950">
      <w:pPr>
        <w:pStyle w:val="20"/>
        <w:spacing w:after="220"/>
        <w:jc w:val="both"/>
        <w:rPr>
          <w:rStyle w:val="2"/>
        </w:rPr>
      </w:pPr>
    </w:p>
    <w:p w14:paraId="7DACD41C" w14:textId="77777777" w:rsidR="00D01950" w:rsidRDefault="00D01950">
      <w:pPr>
        <w:pStyle w:val="20"/>
        <w:spacing w:after="220"/>
        <w:jc w:val="both"/>
        <w:rPr>
          <w:rStyle w:val="2"/>
        </w:rPr>
      </w:pPr>
    </w:p>
    <w:p w14:paraId="71023B57" w14:textId="77777777" w:rsidR="00D01950" w:rsidRDefault="00D01950">
      <w:pPr>
        <w:pStyle w:val="20"/>
        <w:spacing w:after="220"/>
        <w:jc w:val="both"/>
        <w:rPr>
          <w:rStyle w:val="2"/>
        </w:rPr>
      </w:pPr>
    </w:p>
    <w:p w14:paraId="35521A04" w14:textId="77777777" w:rsidR="00D01950" w:rsidRDefault="00D01950">
      <w:pPr>
        <w:pStyle w:val="20"/>
        <w:spacing w:after="220"/>
        <w:jc w:val="both"/>
        <w:rPr>
          <w:rStyle w:val="2"/>
        </w:rPr>
      </w:pPr>
    </w:p>
    <w:p w14:paraId="4CD60FE5" w14:textId="4D9668F3" w:rsidR="00E5429C" w:rsidRDefault="006E403E">
      <w:pPr>
        <w:pStyle w:val="20"/>
        <w:spacing w:after="220"/>
        <w:jc w:val="both"/>
      </w:pPr>
      <w:r>
        <w:rPr>
          <w:rStyle w:val="2"/>
        </w:rPr>
        <w:t>* - информация представляется с учетом сведений, указанных в Приложении 1 (мониторинг антитеррористической защищенности объектов (территорий)</w:t>
      </w:r>
      <w:r w:rsidR="0093274E">
        <w:rPr>
          <w:rStyle w:val="2"/>
        </w:rPr>
        <w:t xml:space="preserve"> Республики Дагестан).</w:t>
      </w:r>
    </w:p>
    <w:p w14:paraId="4B2CA2E7" w14:textId="77777777" w:rsidR="00E5429C" w:rsidRDefault="006E403E">
      <w:pPr>
        <w:pStyle w:val="20"/>
        <w:spacing w:after="0"/>
        <w:jc w:val="both"/>
      </w:pPr>
      <w:r>
        <w:rPr>
          <w:rStyle w:val="2"/>
        </w:rPr>
        <w:t>** - при отсутствии информации по какому-либо из пунктов, номер пункта указывается с пометкой «информации не имеется».</w:t>
      </w:r>
    </w:p>
    <w:sectPr w:rsidR="00E5429C">
      <w:headerReference w:type="default" r:id="rId7"/>
      <w:headerReference w:type="first" r:id="rId8"/>
      <w:pgSz w:w="11900" w:h="16840"/>
      <w:pgMar w:top="1338" w:right="679" w:bottom="992" w:left="1097" w:header="0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86F2C" w14:textId="77777777" w:rsidR="000F529C" w:rsidRDefault="000F529C">
      <w:r>
        <w:separator/>
      </w:r>
    </w:p>
  </w:endnote>
  <w:endnote w:type="continuationSeparator" w:id="0">
    <w:p w14:paraId="38A3B1B8" w14:textId="77777777" w:rsidR="000F529C" w:rsidRDefault="000F5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38AF7" w14:textId="77777777" w:rsidR="000F529C" w:rsidRDefault="000F529C"/>
  </w:footnote>
  <w:footnote w:type="continuationSeparator" w:id="0">
    <w:p w14:paraId="51A3B765" w14:textId="77777777" w:rsidR="000F529C" w:rsidRDefault="000F52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16871" w14:textId="77777777" w:rsidR="00E5429C" w:rsidRDefault="006E403E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469E42E9" wp14:editId="4079AC20">
              <wp:simplePos x="0" y="0"/>
              <wp:positionH relativeFrom="page">
                <wp:posOffset>3876040</wp:posOffset>
              </wp:positionH>
              <wp:positionV relativeFrom="page">
                <wp:posOffset>541655</wp:posOffset>
              </wp:positionV>
              <wp:extent cx="67310" cy="10033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7E3B0EF" w14:textId="77777777" w:rsidR="00E5429C" w:rsidRDefault="006E403E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21"/>
                              <w:sz w:val="24"/>
                              <w:szCs w:val="24"/>
                            </w:rPr>
                            <w:t>#</w:t>
                          </w:r>
                          <w:r>
                            <w:rPr>
                              <w:rStyle w:val="2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9E42E9" id="_x0000_t202" coordsize="21600,21600" o:spt="202" path="m,l,21600r21600,l21600,xe">
              <v:stroke joinstyle="miter"/>
              <v:path gradientshapeok="t" o:connecttype="rect"/>
            </v:shapetype>
            <v:shape id="Shape 7" o:spid="_x0000_s1026" type="#_x0000_t202" style="position:absolute;margin-left:305.2pt;margin-top:42.65pt;width:5.3pt;height:7.9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" filled="f" stroked="f">
              <v:textbox style="mso-fit-shape-to-text:t" inset="0,0,0,0">
                <w:txbxContent>
                  <w:p w14:paraId="17E3B0EF" w14:textId="77777777" w:rsidR="00E5429C" w:rsidRDefault="006E403E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21"/>
                        <w:sz w:val="24"/>
                        <w:szCs w:val="24"/>
                      </w:rPr>
                      <w:t>#</w:t>
                    </w:r>
                    <w:r>
                      <w:rPr>
                        <w:rStyle w:val="21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503DA" w14:textId="77777777" w:rsidR="00E5429C" w:rsidRDefault="006E403E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16CD2C68" wp14:editId="582D5105">
              <wp:simplePos x="0" y="0"/>
              <wp:positionH relativeFrom="page">
                <wp:posOffset>5957570</wp:posOffset>
              </wp:positionH>
              <wp:positionV relativeFrom="page">
                <wp:posOffset>593090</wp:posOffset>
              </wp:positionV>
              <wp:extent cx="1146175" cy="15875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6175" cy="1587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E388F46" w14:textId="77777777" w:rsidR="00E5429C" w:rsidRDefault="006E403E">
                          <w:pPr>
                            <w:pStyle w:val="22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21"/>
                              <w:b/>
                              <w:bCs/>
                              <w:sz w:val="28"/>
                              <w:szCs w:val="28"/>
                            </w:rPr>
                            <w:t>Приложение 5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CD2C68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469.1pt;margin-top:46.7pt;width:90.25pt;height:12.5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" filled="f" stroked="f">
              <v:textbox style="mso-fit-shape-to-text:t" inset="0,0,0,0">
                <w:txbxContent>
                  <w:p w14:paraId="5E388F46" w14:textId="77777777" w:rsidR="00E5429C" w:rsidRDefault="006E403E">
                    <w:pPr>
                      <w:pStyle w:val="22"/>
                      <w:rPr>
                        <w:sz w:val="28"/>
                        <w:szCs w:val="28"/>
                      </w:rPr>
                    </w:pPr>
                    <w:r>
                      <w:rPr>
                        <w:rStyle w:val="21"/>
                        <w:b/>
                        <w:bCs/>
                        <w:sz w:val="28"/>
                        <w:szCs w:val="28"/>
                      </w:rPr>
                      <w:t>Приложение 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B3939"/>
    <w:multiLevelType w:val="multilevel"/>
    <w:tmpl w:val="03A66E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29C"/>
    <w:rsid w:val="000F529C"/>
    <w:rsid w:val="006E403E"/>
    <w:rsid w:val="0093274E"/>
    <w:rsid w:val="00AC095E"/>
    <w:rsid w:val="00CE7423"/>
    <w:rsid w:val="00D01950"/>
    <w:rsid w:val="00E54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6EB4D"/>
  <w15:docId w15:val="{603FA081-C8F4-4A4C-AA19-0E2C5CEC1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0">
    <w:name w:val="Основной текст (2)"/>
    <w:basedOn w:val="a"/>
    <w:link w:val="2"/>
    <w:pPr>
      <w:spacing w:after="11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3"/>
    <w:pPr>
      <w:spacing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Барабанов Денис Владимирович</dc:creator>
  <cp:keywords/>
  <cp:lastModifiedBy>пк</cp:lastModifiedBy>
  <cp:revision>4</cp:revision>
  <dcterms:created xsi:type="dcterms:W3CDTF">2025-04-09T12:17:00Z</dcterms:created>
  <dcterms:modified xsi:type="dcterms:W3CDTF">2025-04-09T13:30:00Z</dcterms:modified>
</cp:coreProperties>
</file>